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Registered Investment Advisers &amp; Compliance Teams</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IARs, compliance staff &amp; support personnel</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[Chief Compliance Officer / Managing Director]</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[compliance@firm.com]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establishes standards for the use of AI tools by investment adviser representatives, compliance staff, and support personnel of [Firm Name]. It ensures compliance with the Investment Advisers Act of 1940, Regulation S-P, SEC recordkeeping requirements under Rule 204-2, and, for dual-registered broker-dealer/adviser firms, applicable FINRA rules, while protecting the confidentiality of client financial information.</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investment adviser representatives (IARs), principals, compliance officers, administrative staff, and third-party service providers of [Firm Name] who use AI tools in connection with client advisory services, compliance functions, marketing, or internal operations.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Non-Public Personal Information (NPI)</w:t>
      </w:r>
    </w:p>
    <w:p>
      <w:pPr>
        <w:spacing w:after="80" w:before="60"/>
        <w:jc w:val="left"/>
      </w:pPr>
      <w:r>
        <w:rPr>
          <w:rFonts w:ascii="Arial" w:cs="Arial" w:eastAsia="Arial" w:hAnsi="Arial"/>
          <w:b w:val="false"/>
          <w:bCs w:val="false"/>
          <w:i w:val="false"/>
          <w:iCs w:val="false"/>
          <w:color w:val="111827"/>
          <w:sz w:val="19"/>
          <w:szCs w:val="19"/>
        </w:rPr>
        <w:t xml:space="preserve">Client financial information protected under Regulation S-P, including account balances, holdings, transactions, investment objectives, risk tolerance, tax information, and Social Security numbers.</w:t>
      </w:r>
    </w:p>
    <w:p>
      <w:pPr>
        <w:spacing w:after="40" w:before="160"/>
      </w:pPr>
      <w:r>
        <w:rPr>
          <w:rFonts w:ascii="Arial" w:cs="Arial" w:eastAsia="Arial" w:hAnsi="Arial"/>
          <w:b/>
          <w:bCs/>
          <w:i w:val="false"/>
          <w:iCs w:val="false"/>
          <w:color w:val="111827"/>
          <w:sz w:val="19"/>
          <w:szCs w:val="19"/>
        </w:rPr>
        <w:t xml:space="preserve">Covered Communication</w:t>
      </w:r>
    </w:p>
    <w:p>
      <w:pPr>
        <w:spacing w:after="80" w:before="60"/>
        <w:jc w:val="left"/>
      </w:pPr>
      <w:r>
        <w:rPr>
          <w:rFonts w:ascii="Arial" w:cs="Arial" w:eastAsia="Arial" w:hAnsi="Arial"/>
          <w:b w:val="false"/>
          <w:bCs w:val="false"/>
          <w:i w:val="false"/>
          <w:iCs w:val="false"/>
          <w:color w:val="111827"/>
          <w:sz w:val="19"/>
          <w:szCs w:val="19"/>
        </w:rPr>
        <w:t xml:space="preserve">Any communication (written, electronic, or AI-generated) with a client or prospective client about advisory services, investment strategy, account activity, or performance. Subject to SEC recordkeeping requirements under Rule 204-2.</w:t>
      </w:r>
    </w:p>
    <w:p>
      <w:pPr>
        <w:spacing w:after="40" w:before="160"/>
      </w:pPr>
      <w:r>
        <w:rPr>
          <w:rFonts w:ascii="Arial" w:cs="Arial" w:eastAsia="Arial" w:hAnsi="Arial"/>
          <w:b/>
          <w:bCs/>
          <w:i w:val="false"/>
          <w:iCs w:val="false"/>
          <w:color w:val="111827"/>
          <w:sz w:val="19"/>
          <w:szCs w:val="19"/>
        </w:rPr>
        <w:t xml:space="preserve">Supervised Person</w:t>
      </w:r>
    </w:p>
    <w:p>
      <w:pPr>
        <w:spacing w:after="80" w:before="60"/>
        <w:jc w:val="left"/>
      </w:pPr>
      <w:r>
        <w:rPr>
          <w:rFonts w:ascii="Arial" w:cs="Arial" w:eastAsia="Arial" w:hAnsi="Arial"/>
          <w:b w:val="false"/>
          <w:bCs w:val="false"/>
          <w:i w:val="false"/>
          <w:iCs w:val="false"/>
          <w:color w:val="111827"/>
          <w:sz w:val="19"/>
          <w:szCs w:val="19"/>
        </w:rPr>
        <w:t xml:space="preserve">Any officer, partner, director, or employee of the registered investment adviser, and any person under the adviser's supervision or control, as defined under the Investment Advisers Act of 1940.</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or distributing investment recommendations to clients using AI tools without IAR review and documented approval.</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Creating marketing content that implies guaranteed returns, fabricates testimonials, or presents selective performance results in violation of Rule 206(4)-1.</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Processing client NPI in AI tools without an executed Regulation S-P-compliant Data Processing Agreement.</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Investment Adviser Standards</w:t>
      </w:r>
    </w:p>
    <w:p>
      <w:pPr>
        <w:spacing w:after="60" w:before="220"/>
      </w:pPr>
      <w:r>
        <w:rPr>
          <w:rFonts w:ascii="Arial" w:cs="Arial" w:eastAsia="Arial" w:hAnsi="Arial"/>
          <w:b/>
          <w:bCs/>
          <w:i w:val="false"/>
          <w:iCs w:val="false"/>
          <w:color w:val="0F766E"/>
          <w:sz w:val="21"/>
          <w:szCs w:val="21"/>
        </w:rPr>
        <w:t xml:space="preserve">8.1  Client Data &amp; Regulation S-P</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Client NPI is Level 3 or Level 4 data. NPI may not be entered into consumer AI tools (ChatGPT, Claude.ai, Perplexity) unless an executed Data Processing Agreement is in place with the vendor.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used to process client portfolio data, account information, risk profiles, or tax records must be reviewed by the CCO for compliance with Regulation S-P safeguard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that vendor data agreements explicitly prohibit using client data for AI model training before using any vendor AI tool with client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External Breach Notification: The SEC's amended Regulation S-P (finalized May 2024) requires covered firms to notify affected customers within 30 days of becoming aware of a breach involving customer NPI. The 24-hour internal reporting requirement in Section 10 of this policy governs internal escalation only. External notification timelines under Regulation S-P are a separate legal obligation.</w:t>
      </w:r>
    </w:p>
    <w:p>
      <w:pPr>
        <w:spacing w:after="40" w:before="60"/>
      </w:pPr>
    </w:p>
    <w:p>
      <w:pPr>
        <w:spacing w:after="60" w:before="220"/>
      </w:pPr>
      <w:r>
        <w:rPr>
          <w:rFonts w:ascii="Arial" w:cs="Arial" w:eastAsia="Arial" w:hAnsi="Arial"/>
          <w:b/>
          <w:bCs/>
          <w:i w:val="false"/>
          <w:iCs w:val="false"/>
          <w:color w:val="0F766E"/>
          <w:sz w:val="21"/>
          <w:szCs w:val="21"/>
        </w:rPr>
        <w:t xml:space="preserve">8.2  Recordkeeping Requirements (Rule 204-2)</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SEC Rule 204-2 requires RIAs to maintain records of communications relating to the business of the investment adviser, including AI-generated communications with clients.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client communications, including emails, letters, reports, and recommendations, that are sent to clients must be retained in the firm's books and records for the applicable retention period.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Where AI-generated prompts contain client-specific information, records of those prompts should be retained as part of the firm's recordkeeping program.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firm's existing recordkeeping policies must be updated to address AI-generated content. Consult with [CCO / Compliance Counsel] before using AI tools to generate client-facing materials.</w:t>
      </w:r>
    </w:p>
    <w:p>
      <w:pPr>
        <w:spacing w:after="40" w:before="60"/>
      </w:pPr>
    </w:p>
    <w:p>
      <w:pPr>
        <w:spacing w:after="60" w:before="220"/>
      </w:pPr>
      <w:r>
        <w:rPr>
          <w:rFonts w:ascii="Arial" w:cs="Arial" w:eastAsia="Arial" w:hAnsi="Arial"/>
          <w:b/>
          <w:bCs/>
          <w:i w:val="false"/>
          <w:iCs w:val="false"/>
          <w:color w:val="0F766E"/>
          <w:sz w:val="21"/>
          <w:szCs w:val="21"/>
        </w:rPr>
        <w:t xml:space="preserve">8.3  Investment Advice &amp; Fiduciary Duty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generate or deliver investment recommendations to clients without prior review and approval by a licensed investment adviser representative.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investment analysis, model portfolios, or rebalancing recommendations must be reviewed for suitability by the adviser of record before being communicated to clients.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firm's fiduciary duty under the Investment Advisers Act requires that advice reflect the client's specific financial situation, objectives, and risk tolerance. AI tools cannot fulfill this duty independently.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that could be construed as investment advice must not be sent to clients or posted publicly without CCO review and documented approval.</w:t>
      </w:r>
    </w:p>
    <w:p>
      <w:pPr>
        <w:spacing w:after="40" w:before="60"/>
      </w:pPr>
    </w:p>
    <w:p>
      <w:pPr>
        <w:spacing w:after="60" w:before="220"/>
      </w:pPr>
      <w:r>
        <w:rPr>
          <w:rFonts w:ascii="Arial" w:cs="Arial" w:eastAsia="Arial" w:hAnsi="Arial"/>
          <w:b/>
          <w:bCs/>
          <w:i w:val="false"/>
          <w:iCs w:val="false"/>
          <w:color w:val="0F766E"/>
          <w:sz w:val="21"/>
          <w:szCs w:val="21"/>
        </w:rPr>
        <w:t xml:space="preserve">8.4  Marketing Rule Compliance (SEC Rule 206(4)-1)</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testimonials, endorsements, and performance marketing materials are subject to the SEC Marketing Rule. They must comply with all applicable disclosure and presentation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be used to fabricate, exaggerate, or selectively present performance data, client outcomes, or endorsements.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marketing content must be reviewed and approved by the CCO or designated compliance personnel before publication or distribution to any audience.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Hypothetical performance illustrations generated by AI must include all required disclosures under the Marketing Rule before use in any client or prospect communication.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Form ADV Part 2A Disclosure: If the firm uses AI tools to generate client-facing investment materials, the scope and nature of that usage may warrant disclosure in the Form ADV Part 2A brochure. Review current AI-related disclosures with the CCO and qualified compliance counsel at the next annual ADV update.</w:t>
      </w:r>
    </w:p>
    <w:p>
      <w:pPr>
        <w:spacing w:after="40" w:before="60"/>
      </w:pPr>
    </w:p>
    <w:p>
      <w:pPr>
        <w:spacing w:after="60" w:before="220"/>
      </w:pPr>
      <w:r>
        <w:rPr>
          <w:rFonts w:ascii="Arial" w:cs="Arial" w:eastAsia="Arial" w:hAnsi="Arial"/>
          <w:b/>
          <w:bCs/>
          <w:i w:val="false"/>
          <w:iCs w:val="false"/>
          <w:color w:val="0F766E"/>
          <w:sz w:val="21"/>
          <w:szCs w:val="21"/>
        </w:rPr>
        <w:t xml:space="preserve">8.5  Approved Uses in Advisory Practice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Market research and analysis assistance using publicly available information (Levels 1–2)</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Drafting client reports, newsletters, and educational content, subject to CCO review before distribution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Summarizing SEC filings, earnings reports, and published third-party research; verify accuracy against source documents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Internal compliance memos, procedure drafts, and staff training materials, non-client-specific content only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Meeting note summaries using internal meeting data, no client NPI in input</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Investment advisers with a principal office in Florida are regulated by the Florida Office of Financial Regulation (OFR), Division of Securities, unless they exceed the federal threshold and register with the SEC.</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Florida-registered investment advisers must comply with Florida Administrative Code Chapter 69W-600, which includes supervision, recordkeeping, and disclosure requirements that parallel federal Advisers Act obligations.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OFR examinations increasingly include questions about technology controls, including AI tool usage in advisory operations. Firms should be prepared to present their AI acceptable use policies and training records during OFR examinations.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Dual-registered broker-dealers and RIAs must also comply with applicable FINRA rules, including FINRA Rule 3110 (Supervision), which requires supervisory procedures for all business communications, including those generated with AI assistance.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Contact Florida OFR: (850) 487-9687  |  flofr.gov</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2026-05-19T21:03:49.284Z</dcterms:created>
  <dcterms:modified xsi:type="dcterms:W3CDTF">2026-05-19T21:03:49.284Z</dcterms:modified>
</cp:coreProperties>
</file>

<file path=docProps/custom.xml><?xml version="1.0" encoding="utf-8"?>
<Properties xmlns="http://schemas.openxmlformats.org/officeDocument/2006/custom-properties" xmlns:vt="http://schemas.openxmlformats.org/officeDocument/2006/docPropsVTypes"/>
</file>